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Layout w:type="fixed"/>
        <w:tblCellMar>
          <w:left w:w="0" w:type="dxa"/>
          <w:right w:w="0" w:type="dxa"/>
        </w:tblCellMar>
      </w:tblPr>
      <w:tblGrid>
        <w:gridCol w:w="9638"/>
      </w:tblGrid>
      <w:tr>
        <w:tc>
          <w:tcPr>
            <w:tcW w:type="dxa" w:w="9638"/>
            <w:shd w:val="clear" w:color="auto" w:fill="12232E"/>
            <w:tcBorders>
              <w:bottom w:val="single" w:sz="18" w:color="2FBF9F"/>
            </w:tcBorders>
          </w:tcPr>
          <w:p>
            <w:pPr>
              <w:tabs>
                <w:tab w:pos="9411" w:val="right"/>
              </w:tabs>
              <w:spacing w:before="200" w:after="40"/>
            </w:pPr>
            <w:r>
              <w:rPr>
                <w:rFonts w:ascii="Arial" w:hAnsi="Arial"/>
                <w:b/>
                <w:i w:val="0"/>
                <w:color w:val="7FD8C4"/>
                <w:sz w:val="16"/>
              </w:rPr>
              <w:t>10 Punkte zum Ausfüllen</w:t>
            </w:r>
          </w:p>
          <w:p>
            <w:pPr>
              <w:spacing w:after="60"/>
            </w:pPr>
            <w:r>
              <w:rPr>
                <w:rFonts w:ascii="Arial" w:hAnsi="Arial"/>
                <w:b/>
                <w:i w:val="0"/>
                <w:color w:val="FFFFFF"/>
                <w:sz w:val="50"/>
              </w:rPr>
              <w:t>KI-Richtlinie</w:t>
            </w:r>
          </w:p>
          <w:p>
            <w:pPr>
              <w:spacing w:before="60" w:after="240"/>
            </w:pPr>
            <w:r>
              <w:rPr>
                <w:rFonts w:ascii="Arial" w:hAnsi="Arial"/>
                <w:b w:val="0"/>
                <w:i w:val="0"/>
                <w:color w:val="C9D6DD"/>
                <w:sz w:val="20"/>
              </w:rPr>
              <w:t>der [Kanzlei], Stand [Datum], zuständig [Name]</w:t>
            </w:r>
          </w:p>
        </w:tc>
      </w:tr>
    </w:tbl>
    <w:p>
      <w:pPr>
        <w:spacing w:before="240" w:after="180"/>
      </w:pPr>
      <w:r>
        <w:rPr>
          <w:rFonts w:ascii="Arial" w:hAnsi="Arial"/>
          <w:b w:val="0"/>
          <w:i w:val="0"/>
          <w:color w:val="5C6368"/>
          <w:sz w:val="17"/>
        </w:rPr>
        <w:t>Was in eckigen Klammern steht, tragen Sie ein.</w:t>
      </w:r>
    </w:p>
    <w:tbl>
      <w:tblPr>
        <w:tblStyle w:val="TableGrid"/>
        <w:tblW w:type="auto" w:w="0"/>
        <w:jc w:val="left"/>
        <w:tblLook w:firstColumn="1" w:firstRow="1" w:lastColumn="0" w:lastRow="0" w:noHBand="0" w:noVBand="1" w:val="04A0"/>
      </w:tblPr>
      <w:tblGrid>
        <w:gridCol w:w="2409"/>
        <w:gridCol w:w="2409"/>
        <w:gridCol w:w="2409"/>
        <w:gridCol w:w="2409"/>
      </w:tblGrid>
      <w:tr>
        <w:tc>
          <w:tcPr>
            <w:tcW w:type="dxa" w:w="2409"/>
            <w:shd w:val="clear" w:color="auto" w:fill="F4F6F7"/>
          </w:tcPr>
          <w:p>
            <w:pPr>
              <w:spacing w:after="40"/>
            </w:pPr>
            <w:r>
              <w:rPr>
                <w:rFonts w:ascii="Arial" w:hAnsi="Arial"/>
                <w:b/>
                <w:i w:val="0"/>
                <w:color w:val="5C6368"/>
                <w:sz w:val="16"/>
              </w:rPr>
              <w:t>Fassung</w:t>
            </w:r>
          </w:p>
        </w:tc>
        <w:tc>
          <w:tcPr>
            <w:tcW w:type="dxa" w:w="2409"/>
            <w:shd w:val="clear" w:color="auto" w:fill="F4F6F7"/>
          </w:tcPr>
          <w:p>
            <w:pPr>
              <w:spacing w:after="40"/>
            </w:pPr>
            <w:r>
              <w:rPr>
                <w:rFonts w:ascii="Arial" w:hAnsi="Arial"/>
                <w:b/>
                <w:i w:val="0"/>
                <w:color w:val="5C6368"/>
                <w:sz w:val="16"/>
              </w:rPr>
              <w:t>Gültig ab</w:t>
            </w:r>
          </w:p>
        </w:tc>
        <w:tc>
          <w:tcPr>
            <w:tcW w:type="dxa" w:w="2409"/>
            <w:shd w:val="clear" w:color="auto" w:fill="F4F6F7"/>
          </w:tcPr>
          <w:p>
            <w:pPr>
              <w:spacing w:after="40"/>
            </w:pPr>
            <w:r>
              <w:rPr>
                <w:rFonts w:ascii="Arial" w:hAnsi="Arial"/>
                <w:b/>
                <w:i w:val="0"/>
                <w:color w:val="5C6368"/>
                <w:sz w:val="16"/>
              </w:rPr>
              <w:t>Zuständig</w:t>
            </w:r>
          </w:p>
        </w:tc>
        <w:tc>
          <w:tcPr>
            <w:tcW w:type="dxa" w:w="2409"/>
            <w:shd w:val="clear" w:color="auto" w:fill="F4F6F7"/>
          </w:tcPr>
          <w:p>
            <w:pPr>
              <w:spacing w:after="40"/>
            </w:pPr>
            <w:r>
              <w:rPr>
                <w:rFonts w:ascii="Arial" w:hAnsi="Arial"/>
                <w:b/>
                <w:i w:val="0"/>
                <w:color w:val="5C6368"/>
                <w:sz w:val="16"/>
              </w:rPr>
              <w:t>Nächste Prüfung</w:t>
            </w:r>
          </w:p>
        </w:tc>
      </w:tr>
      <w:tr>
        <w:tc>
          <w:tcPr>
            <w:tcW w:type="dxa" w:w="2409"/>
          </w:tcPr>
          <w:p>
            <w:pPr>
              <w:spacing w:after="40"/>
            </w:pPr>
            <w:r>
              <w:rPr>
                <w:rFonts w:ascii="Arial" w:hAnsi="Arial"/>
                <w:b w:val="0"/>
                <w:i w:val="0"/>
                <w:color w:val="1A1A1A"/>
                <w:sz w:val="16"/>
              </w:rPr>
              <w:t>[Datum]</w:t>
            </w:r>
          </w:p>
        </w:tc>
        <w:tc>
          <w:tcPr>
            <w:tcW w:type="dxa" w:w="2409"/>
          </w:tcPr>
          <w:p>
            <w:pPr>
              <w:spacing w:after="40"/>
            </w:pPr>
            <w:r>
              <w:rPr>
                <w:rFonts w:ascii="Arial" w:hAnsi="Arial"/>
                <w:b w:val="0"/>
                <w:i w:val="0"/>
                <w:color w:val="1A1A1A"/>
                <w:sz w:val="16"/>
              </w:rPr>
              <w:t>[Datum]</w:t>
            </w:r>
          </w:p>
        </w:tc>
        <w:tc>
          <w:tcPr>
            <w:tcW w:type="dxa" w:w="2409"/>
          </w:tcPr>
          <w:p>
            <w:pPr>
              <w:spacing w:after="40"/>
            </w:pPr>
            <w:r>
              <w:rPr>
                <w:rFonts w:ascii="Arial" w:hAnsi="Arial"/>
                <w:b w:val="0"/>
                <w:i w:val="0"/>
                <w:color w:val="1A1A1A"/>
                <w:sz w:val="16"/>
              </w:rPr>
              <w:t>[Name]</w:t>
            </w:r>
          </w:p>
        </w:tc>
        <w:tc>
          <w:tcPr>
            <w:tcW w:type="dxa" w:w="2409"/>
          </w:tcPr>
          <w:p>
            <w:pPr>
              <w:spacing w:after="40"/>
            </w:pPr>
            <w:r>
              <w:rPr>
                <w:rFonts w:ascii="Arial" w:hAnsi="Arial"/>
                <w:b w:val="0"/>
                <w:i w:val="0"/>
                <w:color w:val="1A1A1A"/>
                <w:sz w:val="16"/>
              </w:rPr>
              <w:t>[Datum]</w:t>
            </w:r>
          </w:p>
        </w:tc>
      </w:tr>
    </w:tbl>
    <w:p>
      <w:pPr>
        <w:spacing w:before="200" w:after="60"/>
      </w:pPr>
      <w:r>
        <w:rPr>
          <w:rFonts w:ascii="Arial" w:hAnsi="Arial"/>
          <w:b/>
          <w:i w:val="0"/>
          <w:color w:val="0F7A63"/>
          <w:sz w:val="17"/>
        </w:rPr>
        <w:t>WOMIT GEARBEITET WIRD UND WAS HINEINDARF</w:t>
      </w:r>
    </w:p>
    <w:tbl>
      <w:tblPr>
        <w:tblW w:type="auto" w:w="0"/>
        <w:tblLook w:firstColumn="1" w:firstRow="1" w:lastColumn="0" w:lastRow="0" w:noHBand="0" w:noVBand="1" w:val="04A0"/>
        <w:tblCellMar>
          <w:left w:w="0" w:type="dxa"/>
          <w:right w:w="0" w:type="dxa"/>
        </w:tblCellMar>
      </w:tblPr>
      <w:tblGrid>
        <w:gridCol w:w="9638"/>
      </w:tblGrid>
      <w:tr>
        <w:tc>
          <w:tcPr>
            <w:tcW w:type="dxa" w:w="9638"/>
            <w:tcBorders>
              <w:bottom w:val="single" w:sz="4" w:color="D3D8DA"/>
            </w:tcBorders>
          </w:tcPr>
          <w:p>
            <w:pPr>
              <w:spacing w:after="0"/>
            </w:pPr>
          </w:p>
        </w:tc>
      </w:tr>
    </w:tbl>
    <w:p>
      <w:pPr>
        <w:spacing w:before="186" w:after="0"/>
        <w:ind w:left="425" w:hanging="425"/>
      </w:pPr>
      <w:r>
        <w:rPr>
          <w:rFonts w:ascii="Arial" w:hAnsi="Arial"/>
          <w:b/>
          <w:i w:val="0"/>
          <w:color w:val="0F7A63"/>
          <w:sz w:val="29"/>
        </w:rPr>
        <w:t xml:space="preserve">1. </w:t>
      </w:r>
      <w:r>
        <w:rPr>
          <w:rFonts w:ascii="Arial" w:hAnsi="Arial"/>
          <w:b/>
          <w:i w:val="0"/>
          <w:color w:val="1A1A1A"/>
          <w:sz w:val="29"/>
        </w:rPr>
        <w:t xml:space="preserve">Geltung. </w:t>
      </w:r>
      <w:r>
        <w:rPr>
          <w:rFonts w:ascii="Arial" w:hAnsi="Arial"/>
          <w:b w:val="0"/>
          <w:i w:val="0"/>
          <w:color w:val="1A1A1A"/>
          <w:sz w:val="29"/>
        </w:rPr>
        <w:t>Diese Richtlinie gilt für alle, die in der Kanzlei oder in ihrem Auftrag arbeiten, auch für Auszubildende und freie Mitarbeitende. Sie gilt für jede Anwendung, die mit künstlicher Intelligenz Texte erzeugt, zusammenfasst, übersetzt oder auswertet, auch wenn sie in Software steckt, die die Kanzlei schon nutzt.</w:t>
      </w:r>
    </w:p>
    <w:p>
      <w:pPr>
        <w:spacing w:before="186" w:after="0"/>
        <w:ind w:left="425" w:hanging="425"/>
      </w:pPr>
      <w:r>
        <w:rPr>
          <w:rFonts w:ascii="Arial" w:hAnsi="Arial"/>
          <w:b/>
          <w:i w:val="0"/>
          <w:color w:val="0F7A63"/>
          <w:sz w:val="29"/>
        </w:rPr>
        <w:t xml:space="preserve">2. </w:t>
      </w:r>
      <w:r>
        <w:rPr>
          <w:rFonts w:ascii="Arial" w:hAnsi="Arial"/>
          <w:b/>
          <w:i w:val="0"/>
          <w:color w:val="1A1A1A"/>
          <w:sz w:val="29"/>
        </w:rPr>
        <w:t xml:space="preserve">Nur freigegebene Werkzeuge. </w:t>
      </w:r>
      <w:r>
        <w:rPr>
          <w:rFonts w:ascii="Arial" w:hAnsi="Arial"/>
          <w:b w:val="0"/>
          <w:i w:val="0"/>
          <w:color w:val="1A1A1A"/>
          <w:sz w:val="29"/>
        </w:rPr>
        <w:t>Genutzt werden nur die Werkzeuge aus der Werkzeugliste, und nur für die dort genannten Zwecke. Ein neues Werkzeug kommt erst auf die Liste, wenn [Name] es geprüft und freigegeben hat.</w:t>
      </w:r>
    </w:p>
    <w:p>
      <w:pPr>
        <w:spacing w:before="186" w:after="0"/>
        <w:ind w:left="425" w:hanging="425"/>
      </w:pPr>
      <w:r>
        <w:rPr>
          <w:rFonts w:ascii="Arial" w:hAnsi="Arial"/>
          <w:b/>
          <w:i w:val="0"/>
          <w:color w:val="0F7A63"/>
          <w:sz w:val="29"/>
        </w:rPr>
        <w:t xml:space="preserve">3. </w:t>
      </w:r>
      <w:r>
        <w:rPr>
          <w:rFonts w:ascii="Arial" w:hAnsi="Arial"/>
          <w:b/>
          <w:i w:val="0"/>
          <w:color w:val="1A1A1A"/>
          <w:sz w:val="29"/>
        </w:rPr>
        <w:t xml:space="preserve">Nur Konten der Kanzlei. </w:t>
      </w:r>
      <w:r>
        <w:rPr>
          <w:rFonts w:ascii="Arial" w:hAnsi="Arial"/>
          <w:b w:val="0"/>
          <w:i w:val="0"/>
          <w:color w:val="1A1A1A"/>
          <w:sz w:val="29"/>
        </w:rPr>
        <w:t>Für die Arbeit wird kein privates Konto genutzt, auch nicht auf dem eigenen Telefon und auch nicht für Texte ohne Mandantenbezug. Die Konten der Kanzlei tragen, soweit möglich, keine Namen einzelner Beschäftigter.</w:t>
      </w:r>
    </w:p>
    <w:p>
      <w:pPr>
        <w:spacing w:before="186" w:after="0"/>
        <w:ind w:left="425" w:hanging="425"/>
      </w:pPr>
      <w:r>
        <w:rPr>
          <w:rFonts w:ascii="Arial" w:hAnsi="Arial"/>
          <w:b/>
          <w:i w:val="0"/>
          <w:color w:val="0F7A63"/>
          <w:sz w:val="29"/>
        </w:rPr>
        <w:t xml:space="preserve">4. </w:t>
      </w:r>
      <w:r>
        <w:rPr>
          <w:rFonts w:ascii="Arial" w:hAnsi="Arial"/>
          <w:b/>
          <w:i w:val="0"/>
          <w:color w:val="1A1A1A"/>
          <w:sz w:val="29"/>
        </w:rPr>
        <w:t xml:space="preserve">Was nicht eingegeben wird. </w:t>
      </w:r>
      <w:r>
        <w:rPr>
          <w:rFonts w:ascii="Arial" w:hAnsi="Arial"/>
          <w:b w:val="0"/>
          <w:i w:val="0"/>
          <w:color w:val="1A1A1A"/>
          <w:sz w:val="29"/>
        </w:rPr>
        <w:t>In Werkzeuge, die dafür nicht ausdrücklich freigegeben sind, kommen keine Namen, Anschriften, Geburtsdaten, Steuer-IDs, Bankverbindungen, Konfessionen oder Aktenzeichen und keine Verträge, Schriftsätze, Bescheide, Erklärungen, Bilanzen oder Lohnunterlagen. Das gilt ebenso für Daten des eigenen Teams und für Interna der Kanzlei.</w:t>
      </w:r>
    </w:p>
    <w:p>
      <w:pPr>
        <w:spacing w:before="186" w:after="0"/>
        <w:ind w:left="425" w:hanging="425"/>
      </w:pPr>
      <w:r>
        <w:rPr>
          <w:rFonts w:ascii="Arial" w:hAnsi="Arial"/>
          <w:b/>
          <w:i w:val="0"/>
          <w:color w:val="0F7A63"/>
          <w:sz w:val="29"/>
        </w:rPr>
        <w:t xml:space="preserve">5. </w:t>
      </w:r>
      <w:r>
        <w:rPr>
          <w:rFonts w:ascii="Arial" w:hAnsi="Arial"/>
          <w:b/>
          <w:i w:val="0"/>
          <w:color w:val="1A1A1A"/>
          <w:sz w:val="29"/>
        </w:rPr>
        <w:t xml:space="preserve">Auch ohne Namen erkennbar. </w:t>
      </w:r>
      <w:r>
        <w:rPr>
          <w:rFonts w:ascii="Arial" w:hAnsi="Arial"/>
          <w:b w:val="0"/>
          <w:i w:val="0"/>
          <w:color w:val="1A1A1A"/>
          <w:sz w:val="29"/>
        </w:rPr>
        <w:t>Namen und Nummern zu entfernen genügt nicht, wenn Ort, Branche, Betrag oder Zeitraum zusammen verraten, um wen es geht. Im Zweifel wird die Frage abstrakt gestellt oder [Name] gefragt.</w:t>
      </w:r>
    </w:p>
    <w:p>
      <w:pPr>
        <w:spacing w:before="200" w:after="60"/>
      </w:pPr>
      <w:r>
        <w:rPr>
          <w:rFonts w:ascii="Arial" w:hAnsi="Arial"/>
          <w:b/>
          <w:i w:val="0"/>
          <w:color w:val="0F7A63"/>
          <w:sz w:val="17"/>
        </w:rPr>
        <w:t>PRÜFUNG, UNTERWEISUNG UND DER FEHLERFALL</w:t>
      </w:r>
    </w:p>
    <w:tbl>
      <w:tblPr>
        <w:tblW w:type="auto" w:w="0"/>
        <w:tblLook w:firstColumn="1" w:firstRow="1" w:lastColumn="0" w:lastRow="0" w:noHBand="0" w:noVBand="1" w:val="04A0"/>
        <w:tblCellMar>
          <w:left w:w="0" w:type="dxa"/>
          <w:right w:w="0" w:type="dxa"/>
        </w:tblCellMar>
      </w:tblPr>
      <w:tblGrid>
        <w:gridCol w:w="9638"/>
      </w:tblGrid>
      <w:tr>
        <w:tc>
          <w:tcPr>
            <w:tcW w:type="dxa" w:w="9638"/>
            <w:tcBorders>
              <w:bottom w:val="single" w:sz="4" w:color="D3D8DA"/>
            </w:tcBorders>
          </w:tcPr>
          <w:p>
            <w:pPr>
              <w:spacing w:after="0"/>
            </w:pPr>
          </w:p>
        </w:tc>
      </w:tr>
    </w:tbl>
    <w:p>
      <w:pPr>
        <w:spacing w:before="186" w:after="0"/>
        <w:ind w:left="425" w:hanging="425"/>
      </w:pPr>
      <w:r>
        <w:rPr>
          <w:rFonts w:ascii="Arial" w:hAnsi="Arial"/>
          <w:b/>
          <w:i w:val="0"/>
          <w:color w:val="0F7A63"/>
          <w:sz w:val="29"/>
        </w:rPr>
        <w:t xml:space="preserve">6. </w:t>
      </w:r>
      <w:r>
        <w:rPr>
          <w:rFonts w:ascii="Arial" w:hAnsi="Arial"/>
          <w:b/>
          <w:i w:val="0"/>
          <w:color w:val="1A1A1A"/>
          <w:sz w:val="29"/>
        </w:rPr>
        <w:t xml:space="preserve">KI im Einzelmandat. </w:t>
      </w:r>
      <w:r>
        <w:rPr>
          <w:rFonts w:ascii="Arial" w:hAnsi="Arial"/>
          <w:b w:val="0"/>
          <w:i w:val="0"/>
          <w:color w:val="1A1A1A"/>
          <w:sz w:val="29"/>
        </w:rPr>
        <w:t>Soll KI unmittelbar für ein bestimmtes Mandat eingesetzt werden, wird vor der Eingabe sensibler mandantenbezogener Daten die Einwilligung des Mandanten eingeholt. Ohne sie werden die Daten anonymisiert oder pseudonymisiert.</w:t>
      </w:r>
    </w:p>
    <w:p>
      <w:pPr>
        <w:spacing w:before="186" w:after="0"/>
        <w:ind w:left="425" w:hanging="425"/>
      </w:pPr>
      <w:r>
        <w:rPr>
          <w:rFonts w:ascii="Arial" w:hAnsi="Arial"/>
          <w:b/>
          <w:i w:val="0"/>
          <w:color w:val="0F7A63"/>
          <w:sz w:val="29"/>
        </w:rPr>
        <w:t xml:space="preserve">7. </w:t>
      </w:r>
      <w:r>
        <w:rPr>
          <w:rFonts w:ascii="Arial" w:hAnsi="Arial"/>
          <w:b/>
          <w:i w:val="0"/>
          <w:color w:val="1A1A1A"/>
          <w:sz w:val="29"/>
        </w:rPr>
        <w:t xml:space="preserve">Prüfung vor Verwendung. </w:t>
      </w:r>
      <w:r>
        <w:rPr>
          <w:rFonts w:ascii="Arial" w:hAnsi="Arial"/>
          <w:b w:val="0"/>
          <w:i w:val="0"/>
          <w:color w:val="1A1A1A"/>
          <w:sz w:val="29"/>
        </w:rPr>
        <w:t>Vorschriften, Urteile und Fristen werden an der Quelle nachgeschlagen, Berechnungen nachgerechnet. Bevor ein Ergebnis die Kanzlei verlässt, prüft und gibt es ein erfahrener Berufsträger frei. Die Verantwortung bleibt bei der Person, die das Ergebnis verwendet.</w:t>
      </w:r>
    </w:p>
    <w:p>
      <w:pPr>
        <w:spacing w:before="186" w:after="0"/>
        <w:ind w:left="425" w:hanging="425"/>
      </w:pPr>
      <w:r>
        <w:rPr>
          <w:rFonts w:ascii="Arial" w:hAnsi="Arial"/>
          <w:b/>
          <w:i w:val="0"/>
          <w:color w:val="0F7A63"/>
          <w:sz w:val="29"/>
        </w:rPr>
        <w:t xml:space="preserve">8. </w:t>
      </w:r>
      <w:r>
        <w:rPr>
          <w:rFonts w:ascii="Arial" w:hAnsi="Arial"/>
          <w:b/>
          <w:i w:val="0"/>
          <w:color w:val="1A1A1A"/>
          <w:sz w:val="29"/>
        </w:rPr>
        <w:t xml:space="preserve">Unterweisung. </w:t>
      </w:r>
      <w:r>
        <w:rPr>
          <w:rFonts w:ascii="Arial" w:hAnsi="Arial"/>
          <w:b w:val="0"/>
          <w:i w:val="0"/>
          <w:color w:val="1A1A1A"/>
          <w:sz w:val="29"/>
        </w:rPr>
        <w:t>Wer ein Werkzeug von der Liste nutzt, wird vorher unterwiesen, und erneut, wenn sich die Liste ändert. Festgehalten werden Datum, Art, Inhalt, Dauer und Teilnehmende.</w:t>
      </w:r>
    </w:p>
    <w:p>
      <w:pPr>
        <w:spacing w:before="200" w:after="60"/>
      </w:pPr>
      <w:r>
        <w:rPr>
          <w:rFonts w:ascii="Arial" w:hAnsi="Arial"/>
          <w:b/>
          <w:i w:val="0"/>
          <w:color w:val="0F7A63"/>
          <w:sz w:val="17"/>
        </w:rPr>
        <w:t>FEHLER MELDEN UND DIE RICHTLINIE ÜBERPRÜFEN</w:t>
      </w:r>
    </w:p>
    <w:tbl>
      <w:tblPr>
        <w:tblW w:type="auto" w:w="0"/>
        <w:tblLook w:firstColumn="1" w:firstRow="1" w:lastColumn="0" w:lastRow="0" w:noHBand="0" w:noVBand="1" w:val="04A0"/>
        <w:tblCellMar>
          <w:left w:w="0" w:type="dxa"/>
          <w:right w:w="0" w:type="dxa"/>
        </w:tblCellMar>
      </w:tblPr>
      <w:tblGrid>
        <w:gridCol w:w="9638"/>
      </w:tblGrid>
      <w:tr>
        <w:tc>
          <w:tcPr>
            <w:tcW w:type="dxa" w:w="9638"/>
            <w:tcBorders>
              <w:bottom w:val="single" w:sz="4" w:color="D3D8DA"/>
            </w:tcBorders>
          </w:tcPr>
          <w:p>
            <w:pPr>
              <w:spacing w:after="0"/>
            </w:pPr>
          </w:p>
        </w:tc>
      </w:tr>
    </w:tbl>
    <w:p>
      <w:pPr>
        <w:spacing w:before="186" w:after="0"/>
        <w:ind w:left="425" w:hanging="425"/>
      </w:pPr>
      <w:r>
        <w:rPr>
          <w:rFonts w:ascii="Arial" w:hAnsi="Arial"/>
          <w:b/>
          <w:i w:val="0"/>
          <w:color w:val="0F7A63"/>
          <w:sz w:val="29"/>
        </w:rPr>
        <w:t xml:space="preserve">9. </w:t>
      </w:r>
      <w:r>
        <w:rPr>
          <w:rFonts w:ascii="Arial" w:hAnsi="Arial"/>
          <w:b/>
          <w:i w:val="0"/>
          <w:color w:val="1A1A1A"/>
          <w:sz w:val="29"/>
        </w:rPr>
        <w:t xml:space="preserve">Fehler sofort melden. </w:t>
      </w:r>
      <w:r>
        <w:rPr>
          <w:rFonts w:ascii="Arial" w:hAnsi="Arial"/>
          <w:b w:val="0"/>
          <w:i w:val="0"/>
          <w:color w:val="1A1A1A"/>
          <w:sz w:val="29"/>
        </w:rPr>
        <w:t>Wer bemerkt, dass Daten in ein nicht freigegebenes Werkzeug gelangt sind, meldet es sofort [Name]. Wer ein Versehen sofort meldet, hat deswegen keine arbeitsrechtlichen Nachteile zu befürchten.</w:t>
      </w:r>
    </w:p>
    <w:p>
      <w:pPr>
        <w:spacing w:before="186" w:after="0"/>
        <w:ind w:left="425" w:hanging="425"/>
      </w:pPr>
      <w:r>
        <w:rPr>
          <w:rFonts w:ascii="Arial" w:hAnsi="Arial"/>
          <w:b/>
          <w:i w:val="0"/>
          <w:color w:val="0F7A63"/>
          <w:sz w:val="29"/>
        </w:rPr>
        <w:t xml:space="preserve">10. </w:t>
      </w:r>
      <w:r>
        <w:rPr>
          <w:rFonts w:ascii="Arial" w:hAnsi="Arial"/>
          <w:b/>
          <w:i w:val="0"/>
          <w:color w:val="1A1A1A"/>
          <w:sz w:val="29"/>
        </w:rPr>
        <w:t xml:space="preserve">Überprüfung und Kontrollen. </w:t>
      </w:r>
      <w:r>
        <w:rPr>
          <w:rFonts w:ascii="Arial" w:hAnsi="Arial"/>
          <w:b w:val="0"/>
          <w:i w:val="0"/>
          <w:color w:val="1A1A1A"/>
          <w:sz w:val="29"/>
        </w:rPr>
        <w:t>Richtlinie und Werkzeugliste werden mindestens einmal im Jahr und vor jeder neuen Freigabe überprüft. Stichproben, mit denen die Kanzlei die Einhaltung dieser Richtlinie prüft, werden hier angekündigt: [eintragen oder streichen].</w:t>
      </w:r>
    </w:p>
    <w:p>
      <w:pPr>
        <w:spacing w:before="300" w:after="60"/>
      </w:pPr>
      <w:r>
        <w:rPr>
          <w:rFonts w:ascii="Arial" w:hAnsi="Arial"/>
          <w:b/>
          <w:i w:val="0"/>
          <w:color w:val="0F7A63"/>
          <w:sz w:val="17"/>
        </w:rPr>
        <w:t>KENNTNISNAHME</w:t>
      </w:r>
    </w:p>
    <w:p>
      <w:pPr>
        <w:spacing w:before="0" w:after="140"/>
      </w:pPr>
      <w:r>
        <w:rPr>
          <w:rFonts w:ascii="Arial" w:hAnsi="Arial"/>
          <w:b w:val="0"/>
          <w:i w:val="0"/>
          <w:color w:val="1A1A1A"/>
          <w:sz w:val="29"/>
        </w:rPr>
        <w:t>Ich habe diese Richtlinie gelesen und halte mich daran.</w:t>
      </w:r>
    </w:p>
    <w:tbl>
      <w:tblPr>
        <w:tblStyle w:val="TableGrid"/>
        <w:tblW w:type="auto" w:w="0"/>
        <w:jc w:val="left"/>
        <w:tblLook w:firstColumn="1" w:firstRow="1" w:lastColumn="0" w:lastRow="0" w:noHBand="0" w:noVBand="1" w:val="04A0"/>
      </w:tblPr>
      <w:tblGrid>
        <w:gridCol w:w="3213"/>
        <w:gridCol w:w="3213"/>
        <w:gridCol w:w="3213"/>
      </w:tblGrid>
      <w:tr>
        <w:tc>
          <w:tcPr>
            <w:tcW w:type="dxa" w:w="3213"/>
            <w:shd w:val="clear" w:color="auto" w:fill="F4F6F7"/>
          </w:tcPr>
          <w:p>
            <w:pPr>
              <w:spacing w:after="40"/>
            </w:pPr>
            <w:r>
              <w:rPr>
                <w:rFonts w:ascii="Arial" w:hAnsi="Arial"/>
                <w:b/>
                <w:i w:val="0"/>
                <w:color w:val="5C6368"/>
                <w:sz w:val="16"/>
              </w:rPr>
              <w:t>Name</w:t>
            </w:r>
          </w:p>
        </w:tc>
        <w:tc>
          <w:tcPr>
            <w:tcW w:type="dxa" w:w="3213"/>
            <w:shd w:val="clear" w:color="auto" w:fill="F4F6F7"/>
          </w:tcPr>
          <w:p>
            <w:pPr>
              <w:spacing w:after="40"/>
            </w:pPr>
            <w:r>
              <w:rPr>
                <w:rFonts w:ascii="Arial" w:hAnsi="Arial"/>
                <w:b/>
                <w:i w:val="0"/>
                <w:color w:val="5C6368"/>
                <w:sz w:val="16"/>
              </w:rPr>
              <w:t>Datum</w:t>
            </w:r>
          </w:p>
        </w:tc>
        <w:tc>
          <w:tcPr>
            <w:tcW w:type="dxa" w:w="3213"/>
            <w:shd w:val="clear" w:color="auto" w:fill="F4F6F7"/>
          </w:tcPr>
          <w:p>
            <w:pPr>
              <w:spacing w:after="40"/>
            </w:pPr>
            <w:r>
              <w:rPr>
                <w:rFonts w:ascii="Arial" w:hAnsi="Arial"/>
                <w:b/>
                <w:i w:val="0"/>
                <w:color w:val="5C6368"/>
                <w:sz w:val="16"/>
              </w:rPr>
              <w:t>Unterschrift</w:t>
            </w:r>
          </w:p>
        </w:tc>
      </w:tr>
      <w:tr>
        <w:tc>
          <w:tcPr>
            <w:tcW w:type="dxa" w:w="3213"/>
          </w:tcPr>
          <w:p>
            <w:pPr>
              <w:spacing w:after="240"/>
            </w:pPr>
          </w:p>
        </w:tc>
        <w:tc>
          <w:tcPr>
            <w:tcW w:type="dxa" w:w="3213"/>
          </w:tcPr>
          <w:p>
            <w:pPr>
              <w:spacing w:after="240"/>
            </w:pPr>
          </w:p>
        </w:tc>
        <w:tc>
          <w:tcPr>
            <w:tcW w:type="dxa" w:w="3213"/>
          </w:tcPr>
          <w:p>
            <w:pPr>
              <w:spacing w:after="240"/>
            </w:pPr>
          </w:p>
        </w:tc>
      </w:tr>
      <w:tr>
        <w:tc>
          <w:tcPr>
            <w:tcW w:type="dxa" w:w="3213"/>
          </w:tcPr>
          <w:p>
            <w:pPr>
              <w:spacing w:after="240"/>
            </w:pPr>
          </w:p>
        </w:tc>
        <w:tc>
          <w:tcPr>
            <w:tcW w:type="dxa" w:w="3213"/>
          </w:tcPr>
          <w:p>
            <w:pPr>
              <w:spacing w:after="240"/>
            </w:pPr>
          </w:p>
        </w:tc>
        <w:tc>
          <w:tcPr>
            <w:tcW w:type="dxa" w:w="3213"/>
          </w:tcPr>
          <w:p>
            <w:pPr>
              <w:spacing w:after="240"/>
            </w:pPr>
          </w:p>
        </w:tc>
      </w:tr>
      <w:tr>
        <w:tc>
          <w:tcPr>
            <w:tcW w:type="dxa" w:w="3213"/>
          </w:tcPr>
          <w:p>
            <w:pPr>
              <w:spacing w:after="240"/>
            </w:pPr>
          </w:p>
        </w:tc>
        <w:tc>
          <w:tcPr>
            <w:tcW w:type="dxa" w:w="3213"/>
          </w:tcPr>
          <w:p>
            <w:pPr>
              <w:spacing w:after="240"/>
            </w:pPr>
          </w:p>
        </w:tc>
        <w:tc>
          <w:tcPr>
            <w:tcW w:type="dxa" w:w="3213"/>
          </w:tcPr>
          <w:p>
            <w:pPr>
              <w:spacing w:after="240"/>
            </w:pPr>
          </w:p>
        </w:tc>
      </w:tr>
      <w:tr>
        <w:tc>
          <w:tcPr>
            <w:tcW w:type="dxa" w:w="3213"/>
          </w:tcPr>
          <w:p>
            <w:pPr>
              <w:spacing w:after="240"/>
            </w:pPr>
          </w:p>
        </w:tc>
        <w:tc>
          <w:tcPr>
            <w:tcW w:type="dxa" w:w="3213"/>
          </w:tcPr>
          <w:p>
            <w:pPr>
              <w:spacing w:after="240"/>
            </w:pPr>
          </w:p>
        </w:tc>
        <w:tc>
          <w:tcPr>
            <w:tcW w:type="dxa" w:w="3213"/>
          </w:tcPr>
          <w:p>
            <w:pPr>
              <w:spacing w:after="240"/>
            </w:pPr>
          </w:p>
        </w:tc>
      </w:tr>
    </w:tbl>
    <w:sectPr w:rsidR="00FC693F" w:rsidRPr="0006063C" w:rsidSect="00034616">
      <w:footerReference w:type="default" r:id="rId9"/>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rFonts w:ascii="Arial" w:hAnsi="Arial"/>
        <w:b w:val="0"/>
        <w:i w:val="0"/>
        <w:color w:val="5C6368"/>
        <w:sz w:val="14"/>
      </w:rPr>
      <w:t>KI-Richtlinie · [Name der Kanzlei] · Fassung vom [Datum]</w:t>
    </w:r>
    <w:r>
      <w:rPr>
        <w:rFonts w:ascii="Arial" w:hAnsi="Arial"/>
        <w:b w:val="0"/>
        <w:i w:val="0"/>
        <w:color w:val="5C6368"/>
        <w:sz w:val="14"/>
      </w:rPr>
      <w:tab/>
      <w:t xml:space="preserve">Seite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1A1A1A"/>
      <w:sz w:val="2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KI-Richtlinie</dc:title>
  <dc:subject/>
  <dc:creator/>
  <cp:keywords/>
  <dc:description/>
  <cp:lastModifiedBy/>
  <cp:revision>1</cp:revision>
  <dcterms:created xsi:type="dcterms:W3CDTF">2026-09-16T00:00:00Z</dcterms:created>
  <dcterms:modified xsi:type="dcterms:W3CDTF">2026-09-16T00:00:00Z</dcterms:modified>
  <cp:category/>
</cp:coreProperties>
</file>