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Layout w:type="fixed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shd w:val="clear" w:color="auto" w:fill="12232E"/>
            <w:tcBorders>
              <w:bottom w:val="single" w:sz="18" w:color="2FBF9F"/>
            </w:tcBorders>
          </w:tcPr>
          <w:p>
            <w:pPr>
              <w:tabs>
                <w:tab w:pos="9411" w:val="right"/>
              </w:tabs>
              <w:spacing w:before="200" w:after="40"/>
            </w:pPr>
            <w:r>
              <w:rPr>
                <w:rFonts w:ascii="Arial" w:hAnsi="Arial"/>
                <w:b/>
                <w:i w:val="0"/>
                <w:color w:val="7FD8C4"/>
                <w:sz w:val="16"/>
              </w:rPr>
              <w:t>11 cláusulas para preencher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FFFFFF"/>
                <w:sz w:val="50"/>
              </w:rPr>
              <w:t>Política de utilização</w:t>
            </w:r>
            <w:r>
              <w:br/>
            </w:r>
            <w:r>
              <w:rPr>
                <w:rFonts w:ascii="Arial" w:hAnsi="Arial"/>
                <w:b/>
                <w:i w:val="0"/>
                <w:color w:val="FFFFFF"/>
                <w:sz w:val="50"/>
              </w:rPr>
              <w:t>de inteligência artificial</w:t>
            </w:r>
          </w:p>
          <w:p>
            <w:pPr>
              <w:spacing w:before="60" w:after="240"/>
            </w:pPr>
            <w:r>
              <w:rPr>
                <w:rFonts w:ascii="Arial" w:hAnsi="Arial"/>
                <w:b w:val="0"/>
                <w:i w:val="0"/>
                <w:color w:val="C9D6DD"/>
                <w:sz w:val="20"/>
              </w:rPr>
              <w:t>de [nome do gabinete], versão de [data]</w:t>
            </w:r>
          </w:p>
        </w:tc>
      </w:tr>
    </w:tbl>
    <w:p>
      <w:pPr>
        <w:spacing w:before="240" w:after="180"/>
      </w:pPr>
      <w:r>
        <w:rPr>
          <w:rFonts w:ascii="Arial" w:hAnsi="Arial"/>
          <w:b w:val="0"/>
          <w:i w:val="0"/>
          <w:color w:val="5C6368"/>
          <w:sz w:val="17"/>
        </w:rPr>
        <w:t>Copie o texto, preencha o que está entre parênteses retos e apague o que não se aplica.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4F6F7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5C6368"/>
                <w:sz w:val="16"/>
              </w:rPr>
              <w:t>Versão</w:t>
            </w:r>
          </w:p>
        </w:tc>
        <w:tc>
          <w:tcPr>
            <w:tcW w:type="dxa" w:w="2409"/>
            <w:shd w:val="clear" w:color="auto" w:fill="F4F6F7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5C6368"/>
                <w:sz w:val="16"/>
              </w:rPr>
              <w:t>Em vigor desde</w:t>
            </w:r>
          </w:p>
        </w:tc>
        <w:tc>
          <w:tcPr>
            <w:tcW w:type="dxa" w:w="2409"/>
            <w:shd w:val="clear" w:color="auto" w:fill="F4F6F7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5C6368"/>
                <w:sz w:val="16"/>
              </w:rPr>
              <w:t>Responsável</w:t>
            </w:r>
          </w:p>
        </w:tc>
        <w:tc>
          <w:tcPr>
            <w:tcW w:type="dxa" w:w="2409"/>
            <w:shd w:val="clear" w:color="auto" w:fill="F4F6F7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5C6368"/>
                <w:sz w:val="16"/>
              </w:rPr>
              <w:t>Próxima revisão</w:t>
            </w:r>
          </w:p>
        </w:tc>
      </w:tr>
      <w:tr>
        <w:tc>
          <w:tcPr>
            <w:tcW w:type="dxa" w:w="2409"/>
          </w:tcPr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[data]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[data]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[nome]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[data]</w:t>
            </w:r>
          </w:p>
        </w:tc>
      </w:tr>
    </w:tbl>
    <w:p>
      <w:pPr>
        <w:spacing w:before="200" w:after="60"/>
      </w:pPr>
      <w:r>
        <w:rPr>
          <w:rFonts w:ascii="Arial" w:hAnsi="Arial"/>
          <w:b/>
          <w:i w:val="0"/>
          <w:color w:val="0F7A63"/>
          <w:sz w:val="17"/>
        </w:rPr>
        <w:t>A QUEM SE APLICA, E COM QUE FERRAMENTAS E CONTAS</w:t>
      </w:r>
    </w:p>
    <w:tbl>
      <w:tblPr>
        <w:tblW w:type="auto" w:w="0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tcBorders>
              <w:bottom w:val="single" w:sz="4" w:color="D3D8DA"/>
            </w:tcBorders>
          </w:tcPr>
          <w:p>
            <w:pPr>
              <w:spacing w:after="0"/>
            </w:pPr>
          </w:p>
        </w:tc>
      </w:tr>
    </w:tbl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1. </w:t>
      </w:r>
      <w:r>
        <w:rPr>
          <w:rFonts w:ascii="Arial" w:hAnsi="Arial"/>
          <w:b/>
          <w:i w:val="0"/>
          <w:color w:val="1A1A1A"/>
          <w:sz w:val="27"/>
        </w:rPr>
        <w:t xml:space="preserve">A quem se aplica. </w:t>
      </w:r>
      <w:r>
        <w:rPr>
          <w:rFonts w:ascii="Arial" w:hAnsi="Arial"/>
          <w:b w:val="0"/>
          <w:i w:val="0"/>
          <w:color w:val="1A1A1A"/>
          <w:sz w:val="27"/>
        </w:rPr>
        <w:t>A todas as pessoas que tratam documentos de clientes por conta do gabinete: sócios, colaboradores, estagiários e prestadores externos. Responsável por esta política: [nome], contabilista certificado n.º [número].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2. </w:t>
      </w:r>
      <w:r>
        <w:rPr>
          <w:rFonts w:ascii="Arial" w:hAnsi="Arial"/>
          <w:b/>
          <w:i w:val="0"/>
          <w:color w:val="1A1A1A"/>
          <w:sz w:val="27"/>
        </w:rPr>
        <w:t xml:space="preserve">Ferramentas e contas autorizadas. </w:t>
      </w:r>
      <w:r>
        <w:rPr>
          <w:rFonts w:ascii="Arial" w:hAnsi="Arial"/>
          <w:b w:val="0"/>
          <w:i w:val="0"/>
          <w:color w:val="1A1A1A"/>
          <w:sz w:val="27"/>
        </w:rPr>
        <w:t>Só se usam as ferramentas desta lista, e só com a conta do gabinete: [ferramenta, plano e quem tem acesso]. Para trabalho de clientes não se usam contas pessoais, gratuitas ou pagas, nem no computador nem no telemóvel. Uma ferramenta nova entra na lista antes de ser usada.</w:t>
      </w:r>
    </w:p>
    <w:p>
      <w:pPr>
        <w:spacing w:before="200" w:after="60"/>
      </w:pPr>
      <w:r>
        <w:rPr>
          <w:rFonts w:ascii="Arial" w:hAnsi="Arial"/>
          <w:b/>
          <w:i w:val="0"/>
          <w:color w:val="0F7A63"/>
          <w:sz w:val="17"/>
        </w:rPr>
        <w:t>O QUE NUNCA ENTRA, E O QUE SÓ ENTRA OCULTADO</w:t>
      </w:r>
    </w:p>
    <w:tbl>
      <w:tblPr>
        <w:tblW w:type="auto" w:w="0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tcBorders>
              <w:bottom w:val="single" w:sz="4" w:color="D3D8DA"/>
            </w:tcBorders>
          </w:tcPr>
          <w:p>
            <w:pPr>
              <w:spacing w:after="0"/>
            </w:pPr>
          </w:p>
        </w:tc>
      </w:tr>
    </w:tbl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3. </w:t>
      </w:r>
      <w:r>
        <w:rPr>
          <w:rFonts w:ascii="Arial" w:hAnsi="Arial"/>
          <w:b/>
          <w:i w:val="0"/>
          <w:color w:val="1A1A1A"/>
          <w:sz w:val="27"/>
        </w:rPr>
        <w:t xml:space="preserve">O que nunca entra. </w:t>
      </w:r>
      <w:r>
        <w:rPr>
          <w:rFonts w:ascii="Arial" w:hAnsi="Arial"/>
          <w:b w:val="0"/>
          <w:i w:val="0"/>
          <w:color w:val="1A1A1A"/>
          <w:sz w:val="27"/>
        </w:rPr>
        <w:t>Nem ocultado nem aos bocados: credenciais de acesso de clientes (Portal das Finanças, Segurança Social Direta, banca online), ficheiros SAF-T, baixas médicas, atestados e tudo o que revele saúde, quotas sindicais e o que o contrato com o cliente excluir.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4. </w:t>
      </w:r>
      <w:r>
        <w:rPr>
          <w:rFonts w:ascii="Arial" w:hAnsi="Arial"/>
          <w:b/>
          <w:i w:val="0"/>
          <w:color w:val="1A1A1A"/>
          <w:sz w:val="27"/>
        </w:rPr>
        <w:t xml:space="preserve">O que só entra ocultado. </w:t>
      </w:r>
      <w:r>
        <w:rPr>
          <w:rFonts w:ascii="Arial" w:hAnsi="Arial"/>
          <w:b w:val="0"/>
          <w:i w:val="0"/>
          <w:color w:val="1A1A1A"/>
          <w:sz w:val="27"/>
        </w:rPr>
        <w:t>Nomes, NIF, NISS, número do Cartão de Cidadão, número de utente, IBAN, moradas, datas de nascimento, matrículas e números de processo substituem-se por marcadores antes de colar, sempre o mesmo marcador para a mesma pessoa. Se o que sobra ainda deixar perceber de quem se trata, não entra.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5. </w:t>
      </w:r>
      <w:r>
        <w:rPr>
          <w:rFonts w:ascii="Arial" w:hAnsi="Arial"/>
          <w:b/>
          <w:i w:val="0"/>
          <w:color w:val="1A1A1A"/>
          <w:sz w:val="27"/>
        </w:rPr>
        <w:t xml:space="preserve">Para que serve. </w:t>
      </w:r>
      <w:r>
        <w:rPr>
          <w:rFonts w:ascii="Arial" w:hAnsi="Arial"/>
          <w:b w:val="0"/>
          <w:i w:val="0"/>
          <w:color w:val="1A1A1A"/>
          <w:sz w:val="27"/>
        </w:rPr>
        <w:t>Para redigir, resumir, rever texto e explicar uma norma. Não serve para decidir um enquadramento fiscal ou contributivo, e nada segue para um cliente sem ser confirmado na fonte: Portal das Finanças, Diário da República, ofício circulado.</w:t>
      </w:r>
    </w:p>
    <w:p>
      <w:pPr>
        <w:spacing w:before="200" w:after="60"/>
      </w:pPr>
      <w:r>
        <w:rPr>
          <w:rFonts w:ascii="Arial" w:hAnsi="Arial"/>
          <w:b/>
          <w:i w:val="0"/>
          <w:color w:val="0F7A63"/>
          <w:sz w:val="17"/>
        </w:rPr>
        <w:t>QUEM CONFIRMA, O QUE SE REGISTA E O QUE SE FAZ SE ALGO SAIR POR ENGANO</w:t>
      </w:r>
    </w:p>
    <w:tbl>
      <w:tblPr>
        <w:tblW w:type="auto" w:w="0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tcBorders>
              <w:bottom w:val="single" w:sz="4" w:color="D3D8DA"/>
            </w:tcBorders>
          </w:tcPr>
          <w:p>
            <w:pPr>
              <w:spacing w:after="0"/>
            </w:pPr>
          </w:p>
        </w:tc>
      </w:tr>
    </w:tbl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6. </w:t>
      </w:r>
      <w:r>
        <w:rPr>
          <w:rFonts w:ascii="Arial" w:hAnsi="Arial"/>
          <w:b/>
          <w:i w:val="0"/>
          <w:color w:val="1A1A1A"/>
          <w:sz w:val="27"/>
        </w:rPr>
        <w:t xml:space="preserve">Quem responde pelo resultado. </w:t>
      </w:r>
      <w:r>
        <w:rPr>
          <w:rFonts w:ascii="Arial" w:hAnsi="Arial"/>
          <w:b w:val="0"/>
          <w:i w:val="0"/>
          <w:color w:val="1A1A1A"/>
          <w:sz w:val="27"/>
        </w:rPr>
        <w:t>O que sai da ferramenta é um rascunho. Quem o usa confirma-o, e o contabilista certificado responde por ele como por qualquer outro trabalho do gabinete.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7. </w:t>
      </w:r>
      <w:r>
        <w:rPr>
          <w:rFonts w:ascii="Arial" w:hAnsi="Arial"/>
          <w:b/>
          <w:i w:val="0"/>
          <w:color w:val="1A1A1A"/>
          <w:sz w:val="27"/>
        </w:rPr>
        <w:t xml:space="preserve">O registo. </w:t>
      </w:r>
      <w:r>
        <w:rPr>
          <w:rFonts w:ascii="Arial" w:hAnsi="Arial"/>
          <w:b w:val="0"/>
          <w:i w:val="0"/>
          <w:color w:val="1A1A1A"/>
          <w:sz w:val="27"/>
        </w:rPr>
        <w:t>Cada utilização com um documento de cliente fica numa linha: data, código do cliente, ferramenta, finalidade e se levou dados pessoais depois de ocultados. O código do cliente, nunca o nome.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8. </w:t>
      </w:r>
      <w:r>
        <w:rPr>
          <w:rFonts w:ascii="Arial" w:hAnsi="Arial"/>
          <w:b/>
          <w:i w:val="0"/>
          <w:color w:val="1A1A1A"/>
          <w:sz w:val="27"/>
        </w:rPr>
        <w:t xml:space="preserve">Se alguma coisa sair por engano. </w:t>
      </w:r>
      <w:r>
        <w:rPr>
          <w:rFonts w:ascii="Arial" w:hAnsi="Arial"/>
          <w:b w:val="0"/>
          <w:i w:val="0"/>
          <w:color w:val="1A1A1A"/>
          <w:sz w:val="27"/>
        </w:rPr>
        <w:t>Não se apaga a conversa antes de a registar, e avisa-se [nome] no próprio dia. [nome] decide, com o registo à frente, se é preciso avisar o cliente ou notificar a CNPD.</w:t>
      </w:r>
    </w:p>
    <w:p>
      <w:pPr>
        <w:spacing w:before="200" w:after="60"/>
      </w:pPr>
      <w:r>
        <w:rPr>
          <w:rFonts w:ascii="Arial" w:hAnsi="Arial"/>
          <w:b/>
          <w:i w:val="0"/>
          <w:color w:val="0F7A63"/>
          <w:sz w:val="17"/>
        </w:rPr>
        <w:t>FORMAÇÃO, PEDIDOS DE CLIENTES, REVISÃO E ASSINATURA</w:t>
      </w:r>
    </w:p>
    <w:tbl>
      <w:tblPr>
        <w:tblW w:type="auto" w:w="0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tcBorders>
              <w:bottom w:val="single" w:sz="4" w:color="D3D8DA"/>
            </w:tcBorders>
          </w:tcPr>
          <w:p>
            <w:pPr>
              <w:spacing w:after="0"/>
            </w:pPr>
          </w:p>
        </w:tc>
      </w:tr>
    </w:tbl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9. </w:t>
      </w:r>
      <w:r>
        <w:rPr>
          <w:rFonts w:ascii="Arial" w:hAnsi="Arial"/>
          <w:b/>
          <w:i w:val="0"/>
          <w:color w:val="1A1A1A"/>
          <w:sz w:val="27"/>
        </w:rPr>
        <w:t xml:space="preserve">Formação. </w:t>
      </w:r>
      <w:r>
        <w:rPr>
          <w:rFonts w:ascii="Arial" w:hAnsi="Arial"/>
          <w:b w:val="0"/>
          <w:i w:val="0"/>
          <w:color w:val="1A1A1A"/>
          <w:sz w:val="27"/>
        </w:rPr>
        <w:t>Ninguém usa IA com documentos de clientes sem ter lido esta política e feito [sessão ou formação]. Fica registado quem fez o quê e quando.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10. </w:t>
      </w:r>
      <w:r>
        <w:rPr>
          <w:rFonts w:ascii="Arial" w:hAnsi="Arial"/>
          <w:b/>
          <w:i w:val="0"/>
          <w:color w:val="1A1A1A"/>
          <w:sz w:val="27"/>
        </w:rPr>
        <w:t xml:space="preserve">Quando um cliente pergunta. </w:t>
      </w:r>
      <w:r>
        <w:rPr>
          <w:rFonts w:ascii="Arial" w:hAnsi="Arial"/>
          <w:b w:val="0"/>
          <w:i w:val="0"/>
          <w:color w:val="1A1A1A"/>
          <w:sz w:val="27"/>
        </w:rPr>
        <w:t>Entrega-se uma cópia desta política. Se o contrato com o cliente proibir a IA ou exigir autorização prévia, cumpre-se o contrato. Quando o gabinete trata dados pessoais por conta do cliente, como no processamento de salários, esses dados só entram, mesmo ocultados, com autorização prévia e por escrito do cliente.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11. </w:t>
      </w:r>
      <w:r>
        <w:rPr>
          <w:rFonts w:ascii="Arial" w:hAnsi="Arial"/>
          <w:b/>
          <w:i w:val="0"/>
          <w:color w:val="1A1A1A"/>
          <w:sz w:val="27"/>
        </w:rPr>
        <w:t xml:space="preserve">Revisão e assinatura. </w:t>
      </w:r>
      <w:r>
        <w:rPr>
          <w:rFonts w:ascii="Arial" w:hAnsi="Arial"/>
          <w:b w:val="0"/>
          <w:i w:val="0"/>
          <w:color w:val="1A1A1A"/>
          <w:sz w:val="27"/>
        </w:rPr>
        <w:t>A política revê-se de seis em seis meses, quando entra ou sai uma ferramenta e quando a Ordem publicar orientações sobre IA. Cada pessoa assina e data uma tomada de conhecimento; quem trabalha sozinho assina-a na mesma.</w:t>
      </w:r>
    </w:p>
    <w:p>
      <w:pPr>
        <w:spacing w:before="300" w:after="60"/>
      </w:pPr>
      <w:r>
        <w:rPr>
          <w:rFonts w:ascii="Arial" w:hAnsi="Arial"/>
          <w:b/>
          <w:i w:val="0"/>
          <w:color w:val="0F7A63"/>
          <w:sz w:val="17"/>
        </w:rPr>
        <w:t>TOMADA DE CONHECIMENTO</w:t>
      </w:r>
    </w:p>
    <w:p>
      <w:pPr>
        <w:spacing w:before="0" w:after="140"/>
      </w:pPr>
      <w:r>
        <w:rPr>
          <w:rFonts w:ascii="Arial" w:hAnsi="Arial"/>
          <w:b w:val="0"/>
          <w:i w:val="0"/>
          <w:color w:val="1A1A1A"/>
          <w:sz w:val="27"/>
        </w:rPr>
        <w:t>Li a política de utilização de IA de [nome do gabinete], versão de [data], e comprometo-me a cumpri-la e a guardar confidencialidade sobre o que tratar.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4F6F7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5C6368"/>
                <w:sz w:val="16"/>
              </w:rPr>
              <w:t>Nome</w:t>
            </w:r>
          </w:p>
        </w:tc>
        <w:tc>
          <w:tcPr>
            <w:tcW w:type="dxa" w:w="3213"/>
            <w:shd w:val="clear" w:color="auto" w:fill="F4F6F7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5C6368"/>
                <w:sz w:val="16"/>
              </w:rPr>
              <w:t>Data</w:t>
            </w:r>
          </w:p>
        </w:tc>
        <w:tc>
          <w:tcPr>
            <w:tcW w:type="dxa" w:w="3213"/>
            <w:shd w:val="clear" w:color="auto" w:fill="F4F6F7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5C6368"/>
                <w:sz w:val="16"/>
              </w:rPr>
              <w:t>Assinatura</w:t>
            </w:r>
          </w:p>
        </w:tc>
      </w:tr>
      <w:tr>
        <w:tc>
          <w:tcPr>
            <w:tcW w:type="dxa" w:w="3213"/>
          </w:tcPr>
          <w:p>
            <w:pPr>
              <w:spacing w:after="240"/>
            </w:pPr>
          </w:p>
        </w:tc>
        <w:tc>
          <w:tcPr>
            <w:tcW w:type="dxa" w:w="3213"/>
          </w:tcPr>
          <w:p>
            <w:pPr>
              <w:spacing w:after="240"/>
            </w:pPr>
          </w:p>
        </w:tc>
        <w:tc>
          <w:tcPr>
            <w:tcW w:type="dxa" w:w="3213"/>
          </w:tcPr>
          <w:p>
            <w:pPr>
              <w:spacing w:after="240"/>
            </w:pPr>
          </w:p>
        </w:tc>
      </w:tr>
    </w:tbl>
    <w:sectPr w:rsidR="00FC693F" w:rsidRPr="0006063C" w:rsidSect="00034616">
      <w:footerReference w:type="default" r:id="rId9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rFonts w:ascii="Arial" w:hAnsi="Arial"/>
        <w:b w:val="0"/>
        <w:i w:val="0"/>
        <w:color w:val="5C6368"/>
        <w:sz w:val="14"/>
      </w:rPr>
      <w:t>Política de utilização de inteligência artificial · [nome do gabinete] · versão de [data]</w:t>
    </w:r>
    <w:r>
      <w:rPr>
        <w:rFonts w:ascii="Arial" w:hAnsi="Arial"/>
        <w:b w:val="0"/>
        <w:i w:val="0"/>
        <w:color w:val="5C6368"/>
        <w:sz w:val="14"/>
      </w:rPr>
      <w:tab/>
      <w:t xml:space="preserve">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A1A1A"/>
      <w:sz w:val="2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utilização de inteligência artificial</dc:title>
  <dc:subject/>
  <dc:creator/>
  <cp:keywords/>
  <dc:description/>
  <cp:lastModifiedBy/>
  <cp:revision>1</cp:revision>
  <dcterms:created xsi:type="dcterms:W3CDTF">2026-09-16T00:00:00Z</dcterms:created>
  <dcterms:modified xsi:type="dcterms:W3CDTF">2026-09-16T00:00:00Z</dcterms:modified>
  <cp:category/>
</cp:coreProperties>
</file>