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6 perguntas com a prova a juntar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Banco de respostas ao questionário</w:t>
            </w:r>
            <w:r>
              <w:br/>
            </w:r>
            <w:r>
              <w:rPr>
                <w:rFonts w:ascii="Arial" w:hAnsi="Arial"/>
                <w:b/>
                <w:i w:val="0"/>
                <w:color w:val="FFFFFF"/>
                <w:sz w:val="50"/>
              </w:rPr>
              <w:t>de segurança do cliente,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para copiar</w:t>
            </w:r>
          </w:p>
        </w:tc>
      </w:tr>
    </w:tbl>
    <w:p>
      <w:pPr>
        <w:spacing w:before="240" w:after="180"/>
      </w:pPr>
      <w:r>
        <w:rPr>
          <w:rFonts w:ascii="Arial" w:hAnsi="Arial"/>
          <w:b w:val="0"/>
          <w:i w:val="0"/>
          <w:color w:val="5C6368"/>
          <w:sz w:val="17"/>
        </w:rPr>
        <w:t>As respostas modelo estão escritas para um gabinete pequeno, e é preciso adaptá-las ao que o seu faz mesmo.</w:t>
      </w:r>
    </w:p>
    <w:p>
      <w:pPr>
        <w:spacing w:before="200" w:after="60"/>
      </w:pPr>
      <w:r>
        <w:rPr>
          <w:rFonts w:ascii="Arial" w:hAnsi="Arial"/>
          <w:b/>
          <w:i w:val="0"/>
          <w:color w:val="0F7A63"/>
          <w:sz w:val="17"/>
        </w:rPr>
        <w:t>O QUE JÁ ESTÁ NO PAPEL, E O QUE A IA MUDA EM CADA PONTO</w:t>
      </w:r>
    </w:p>
    <w:tbl>
      <w:tblPr>
        <w:tblW w:type="auto" w:w="0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tcBorders>
              <w:bottom w:val="single" w:sz="4" w:color="D3D8DA"/>
            </w:tcBorders>
          </w:tcPr>
          <w:p>
            <w:pPr>
              <w:spacing w:after="0"/>
            </w:pPr>
          </w:p>
        </w:tc>
      </w:tr>
    </w:tbl>
    <w:p>
      <w:pPr>
        <w:spacing w:before="161" w:after="0"/>
        <w:ind w:left="425" w:hanging="425"/>
      </w:pPr>
      <w:r>
        <w:rPr>
          <w:rFonts w:ascii="Arial" w:hAnsi="Arial"/>
          <w:b/>
          <w:i w:val="0"/>
          <w:color w:val="0F7A63"/>
          <w:sz w:val="25"/>
        </w:rPr>
        <w:t xml:space="preserve">1. </w:t>
      </w:r>
      <w:r>
        <w:rPr>
          <w:rFonts w:ascii="Arial" w:hAnsi="Arial"/>
          <w:b/>
          <w:i w:val="0"/>
          <w:color w:val="1A1A1A"/>
          <w:sz w:val="25"/>
        </w:rPr>
        <w:t xml:space="preserve">«Desenvolve atividade em alguma das seguintes áreas (...) Outsourcing» (impresso) </w:t>
      </w:r>
      <w:r>
        <w:rPr>
          <w:rFonts w:ascii="Arial" w:hAnsi="Arial"/>
          <w:b w:val="0"/>
          <w:i w:val="0"/>
          <w:color w:val="1A1A1A"/>
          <w:sz w:val="25"/>
        </w:rPr>
      </w:r>
    </w:p>
    <w:p>
      <w:pPr>
        <w:spacing w:before="54" w:after="0"/>
        <w:ind w:left="425"/>
      </w:pPr>
      <w:r>
        <w:rPr>
          <w:rFonts w:ascii="Arial" w:hAnsi="Arial"/>
          <w:b w:val="0"/>
          <w:i w:val="0"/>
          <w:color w:val="1A1A1A"/>
          <w:sz w:val="25"/>
        </w:rPr>
        <w:t>Tratar contabilidade de terceiros é prestar serviço sobre dados de outros, e a IA multiplica por onde esses dados passam</w:t>
      </w:r>
    </w:p>
    <w:p>
      <w:pPr>
        <w:spacing w:before="27" w:after="0"/>
        <w:ind w:left="425"/>
      </w:pPr>
      <w:r>
        <w:rPr>
          <w:rFonts w:ascii="Arial" w:hAnsi="Arial"/>
          <w:b w:val="0"/>
          <w:i w:val="0"/>
          <w:color w:val="5C6368"/>
          <w:sz w:val="23"/>
        </w:rPr>
        <w:t>Lista de serviços e contrato tipo</w:t>
      </w:r>
    </w:p>
    <w:p>
      <w:pPr>
        <w:spacing w:before="161" w:after="0"/>
        <w:ind w:left="425" w:hanging="425"/>
      </w:pPr>
      <w:r>
        <w:rPr>
          <w:rFonts w:ascii="Arial" w:hAnsi="Arial"/>
          <w:b/>
          <w:i w:val="0"/>
          <w:color w:val="0F7A63"/>
          <w:sz w:val="25"/>
        </w:rPr>
        <w:t xml:space="preserve">2. </w:t>
      </w:r>
      <w:r>
        <w:rPr>
          <w:rFonts w:ascii="Arial" w:hAnsi="Arial"/>
          <w:b/>
          <w:i w:val="0"/>
          <w:color w:val="1A1A1A"/>
          <w:sz w:val="25"/>
        </w:rPr>
        <w:t xml:space="preserve">«Qual o número de equipamentos, servidores, terminais e computadores portáteis» (impresso) </w:t>
      </w:r>
      <w:r>
        <w:rPr>
          <w:rFonts w:ascii="Arial" w:hAnsi="Arial"/>
          <w:b w:val="0"/>
          <w:i w:val="0"/>
          <w:color w:val="1A1A1A"/>
          <w:sz w:val="25"/>
        </w:rPr>
      </w:r>
    </w:p>
    <w:p>
      <w:pPr>
        <w:spacing w:before="54" w:after="0"/>
        <w:ind w:left="425"/>
      </w:pPr>
      <w:r>
        <w:rPr>
          <w:rFonts w:ascii="Arial" w:hAnsi="Arial"/>
          <w:b w:val="0"/>
          <w:i w:val="0"/>
          <w:color w:val="1A1A1A"/>
          <w:sz w:val="25"/>
        </w:rPr>
        <w:t>O telemóvel pessoal onde alguém abre o ChatGPT costuma ficar de fora desta conta</w:t>
      </w:r>
    </w:p>
    <w:p>
      <w:pPr>
        <w:spacing w:before="27" w:after="0"/>
        <w:ind w:left="425"/>
      </w:pPr>
      <w:r>
        <w:rPr>
          <w:rFonts w:ascii="Arial" w:hAnsi="Arial"/>
          <w:b w:val="0"/>
          <w:i w:val="0"/>
          <w:color w:val="5C6368"/>
          <w:sz w:val="23"/>
        </w:rPr>
        <w:t>Inventário de equipamentos, com os pessoais assinalados</w:t>
      </w:r>
    </w:p>
    <w:p>
      <w:pPr>
        <w:spacing w:before="161" w:after="0"/>
        <w:ind w:left="425" w:hanging="425"/>
      </w:pPr>
      <w:r>
        <w:rPr>
          <w:rFonts w:ascii="Arial" w:hAnsi="Arial"/>
          <w:b/>
          <w:i w:val="0"/>
          <w:color w:val="0F7A63"/>
          <w:sz w:val="25"/>
        </w:rPr>
        <w:t xml:space="preserve">3. </w:t>
      </w:r>
      <w:r>
        <w:rPr>
          <w:rFonts w:ascii="Arial" w:hAnsi="Arial"/>
          <w:b/>
          <w:i w:val="0"/>
          <w:color w:val="1A1A1A"/>
          <w:sz w:val="25"/>
        </w:rPr>
        <w:t xml:space="preserve">«Encriptar toda a informação sensível ou confidencial (...) ou em trânsito» (impresso) </w:t>
      </w:r>
      <w:r>
        <w:rPr>
          <w:rFonts w:ascii="Arial" w:hAnsi="Arial"/>
          <w:b w:val="0"/>
          <w:i w:val="0"/>
          <w:color w:val="1A1A1A"/>
          <w:sz w:val="25"/>
        </w:rPr>
      </w:r>
    </w:p>
    <w:p>
      <w:pPr>
        <w:spacing w:before="54" w:after="0"/>
        <w:ind w:left="425"/>
      </w:pPr>
      <w:r>
        <w:rPr>
          <w:rFonts w:ascii="Arial" w:hAnsi="Arial"/>
          <w:b w:val="0"/>
          <w:i w:val="0"/>
          <w:color w:val="1A1A1A"/>
          <w:sz w:val="25"/>
        </w:rPr>
        <w:t>Um texto colado numa caixa de chat sai do perímetro que está cifrado</w:t>
      </w:r>
    </w:p>
    <w:p>
      <w:pPr>
        <w:spacing w:before="27" w:after="0"/>
        <w:ind w:left="425"/>
      </w:pPr>
      <w:r>
        <w:rPr>
          <w:rFonts w:ascii="Arial" w:hAnsi="Arial"/>
          <w:b w:val="0"/>
          <w:i w:val="0"/>
          <w:color w:val="5C6368"/>
          <w:sz w:val="23"/>
        </w:rPr>
        <w:t>Política de IA e lista de contas autorizadas</w:t>
      </w:r>
    </w:p>
    <w:p>
      <w:pPr>
        <w:spacing w:before="161" w:after="0"/>
        <w:ind w:left="425" w:hanging="425"/>
      </w:pPr>
      <w:r>
        <w:rPr>
          <w:rFonts w:ascii="Arial" w:hAnsi="Arial"/>
          <w:b/>
          <w:i w:val="0"/>
          <w:color w:val="0F7A63"/>
          <w:sz w:val="25"/>
        </w:rPr>
        <w:t xml:space="preserve">4. </w:t>
      </w:r>
      <w:r>
        <w:rPr>
          <w:rFonts w:ascii="Arial" w:hAnsi="Arial"/>
          <w:b/>
          <w:i w:val="0"/>
          <w:color w:val="1A1A1A"/>
          <w:sz w:val="25"/>
        </w:rPr>
        <w:t xml:space="preserve">«Ter implementado controlo de acessos para empregados, colaboradores ou outros utilizadores» (impresso) </w:t>
      </w:r>
      <w:r>
        <w:rPr>
          <w:rFonts w:ascii="Arial" w:hAnsi="Arial"/>
          <w:b w:val="0"/>
          <w:i w:val="0"/>
          <w:color w:val="1A1A1A"/>
          <w:sz w:val="25"/>
        </w:rPr>
      </w:r>
    </w:p>
    <w:p>
      <w:pPr>
        <w:spacing w:before="54" w:after="0"/>
        <w:ind w:left="425"/>
      </w:pPr>
      <w:r>
        <w:rPr>
          <w:rFonts w:ascii="Arial" w:hAnsi="Arial"/>
          <w:b w:val="0"/>
          <w:i w:val="0"/>
          <w:color w:val="1A1A1A"/>
          <w:sz w:val="25"/>
        </w:rPr>
        <w:t>Uma conta pessoal de IA não tem controlo de acessos do gabinete</w:t>
      </w:r>
    </w:p>
    <w:p>
      <w:pPr>
        <w:spacing w:before="27" w:after="0"/>
        <w:ind w:left="425"/>
      </w:pPr>
      <w:r>
        <w:rPr>
          <w:rFonts w:ascii="Arial" w:hAnsi="Arial"/>
          <w:b w:val="0"/>
          <w:i w:val="0"/>
          <w:color w:val="5C6368"/>
          <w:sz w:val="23"/>
        </w:rPr>
        <w:t>Lista de ferramentas e de quem tem acesso</w:t>
      </w:r>
    </w:p>
    <w:p>
      <w:pPr>
        <w:spacing w:before="161" w:after="0"/>
        <w:ind w:left="425" w:hanging="425"/>
      </w:pPr>
      <w:r>
        <w:rPr>
          <w:rFonts w:ascii="Arial" w:hAnsi="Arial"/>
          <w:b/>
          <w:i w:val="0"/>
          <w:color w:val="0F7A63"/>
          <w:sz w:val="25"/>
        </w:rPr>
        <w:t xml:space="preserve">5. </w:t>
      </w:r>
      <w:r>
        <w:rPr>
          <w:rFonts w:ascii="Arial" w:hAnsi="Arial"/>
          <w:b/>
          <w:i w:val="0"/>
          <w:color w:val="1A1A1A"/>
          <w:sz w:val="25"/>
        </w:rPr>
        <w:t xml:space="preserve">«As práticas de cibersegurança dos seus fornecedores e prestadores de serviços» (artigo 28.º) </w:t>
      </w:r>
      <w:r>
        <w:rPr>
          <w:rFonts w:ascii="Arial" w:hAnsi="Arial"/>
          <w:b w:val="0"/>
          <w:i w:val="0"/>
          <w:color w:val="1A1A1A"/>
          <w:sz w:val="25"/>
        </w:rPr>
      </w:r>
    </w:p>
    <w:p>
      <w:pPr>
        <w:spacing w:before="54" w:after="0"/>
        <w:ind w:left="425"/>
      </w:pPr>
      <w:r>
        <w:rPr>
          <w:rFonts w:ascii="Arial" w:hAnsi="Arial"/>
          <w:b w:val="0"/>
          <w:i w:val="0"/>
          <w:color w:val="1A1A1A"/>
          <w:sz w:val="25"/>
        </w:rPr>
        <w:t>O fornecedor de IA é um fornecedor, e o cliente quer saber qual é</w:t>
      </w:r>
    </w:p>
    <w:p>
      <w:pPr>
        <w:spacing w:before="27" w:after="0"/>
        <w:ind w:left="425"/>
      </w:pPr>
      <w:r>
        <w:rPr>
          <w:rFonts w:ascii="Arial" w:hAnsi="Arial"/>
          <w:b w:val="0"/>
          <w:i w:val="0"/>
          <w:color w:val="5C6368"/>
          <w:sz w:val="23"/>
        </w:rPr>
        <w:t>Adenda de tratamento de dados do fornecedor</w:t>
      </w:r>
    </w:p>
    <w:p>
      <w:pPr>
        <w:spacing w:before="161" w:after="0"/>
        <w:ind w:left="425" w:hanging="425"/>
      </w:pPr>
      <w:r>
        <w:rPr>
          <w:rFonts w:ascii="Arial" w:hAnsi="Arial"/>
          <w:b/>
          <w:i w:val="0"/>
          <w:color w:val="0F7A63"/>
          <w:sz w:val="25"/>
        </w:rPr>
        <w:t xml:space="preserve">6. </w:t>
      </w:r>
      <w:r>
        <w:rPr>
          <w:rFonts w:ascii="Arial" w:hAnsi="Arial"/>
          <w:b/>
          <w:i w:val="0"/>
          <w:color w:val="1A1A1A"/>
          <w:sz w:val="25"/>
        </w:rPr>
        <w:t xml:space="preserve">«Práticas básicas de ciber-higiene e formação em cibersegurança» (artigo 27.º) </w:t>
      </w:r>
      <w:r>
        <w:rPr>
          <w:rFonts w:ascii="Arial" w:hAnsi="Arial"/>
          <w:b w:val="0"/>
          <w:i w:val="0"/>
          <w:color w:val="1A1A1A"/>
          <w:sz w:val="25"/>
        </w:rPr>
      </w:r>
    </w:p>
    <w:p>
      <w:pPr>
        <w:spacing w:before="54" w:after="0"/>
        <w:ind w:left="425"/>
      </w:pPr>
      <w:r>
        <w:rPr>
          <w:rFonts w:ascii="Arial" w:hAnsi="Arial"/>
          <w:b w:val="0"/>
          <w:i w:val="0"/>
          <w:color w:val="1A1A1A"/>
          <w:sz w:val="25"/>
        </w:rPr>
        <w:t>A formação sobre o que não se cola é a que ninguém tem</w:t>
      </w:r>
    </w:p>
    <w:p>
      <w:pPr>
        <w:spacing w:before="27" w:after="0"/>
        <w:ind w:left="425"/>
      </w:pPr>
      <w:r>
        <w:rPr>
          <w:rFonts w:ascii="Arial" w:hAnsi="Arial"/>
          <w:b w:val="0"/>
          <w:i w:val="0"/>
          <w:color w:val="5C6368"/>
          <w:sz w:val="23"/>
        </w:rPr>
        <w:t>Registo de formação, com datas e assinaturas</w:t>
      </w:r>
    </w:p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Banco de respostas ao questionário de segurança · [nome do gabinete] · versão de [data]</w:t>
    </w:r>
    <w:r>
      <w:rPr>
        <w:rFonts w:ascii="Arial" w:hAnsi="Arial"/>
        <w:b w:val="0"/>
        <w:i w:val="0"/>
        <w:color w:val="5C6368"/>
        <w:sz w:val="14"/>
      </w:rPr>
      <w:tab/>
      <w:t xml:space="preserve">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Banco de respostas ao questionário de segurança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